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A818" w14:textId="4A0692D2" w:rsidR="00F723A9" w:rsidRDefault="00EE5736" w:rsidP="00A2691C">
      <w:pPr>
        <w:pStyle w:val="Body"/>
        <w:spacing w:line="240" w:lineRule="auto"/>
        <w:rPr>
          <w:rFonts w:eastAsia="Arial Unicode MS" w:cs="Arial Unicode MS"/>
          <w:b/>
          <w:bCs/>
          <w:color w:val="0095D5"/>
          <w:sz w:val="28"/>
          <w:szCs w:val="28"/>
          <w:u w:color="0095D5"/>
        </w:rPr>
      </w:pPr>
      <w:r w:rsidRPr="00EE5736">
        <w:rPr>
          <w:rFonts w:eastAsia="Arial Unicode MS" w:cs="Arial Unicode MS"/>
          <w:b/>
          <w:bCs/>
          <w:color w:val="0095D5"/>
          <w:sz w:val="28"/>
          <w:szCs w:val="28"/>
          <w:u w:color="0095D5"/>
        </w:rPr>
        <w:t>Sennheiser's TeamConnect Ceiling Medium Microphone Wins 2024 Red Dot Award for Outstanding Product Design</w:t>
      </w:r>
    </w:p>
    <w:p w14:paraId="182B8F9E" w14:textId="77777777" w:rsidR="00EE5736" w:rsidRPr="00281E66" w:rsidRDefault="00EE5736" w:rsidP="00A2691C">
      <w:pPr>
        <w:pStyle w:val="Body"/>
        <w:spacing w:line="240" w:lineRule="auto"/>
        <w:rPr>
          <w:sz w:val="22"/>
          <w:szCs w:val="22"/>
        </w:rPr>
      </w:pPr>
    </w:p>
    <w:p w14:paraId="12A08E9F" w14:textId="265B091D" w:rsidR="0062366F" w:rsidRDefault="002E2F59"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Pr>
          <w:rStyle w:val="normaltextrun"/>
          <w:rFonts w:ascii="Sennheiser Office" w:eastAsia="Times New Roman" w:hAnsi="Sennheiser Office" w:cs="Segoe UI"/>
          <w:b/>
          <w:bCs/>
          <w:color w:val="000000" w:themeColor="text1"/>
          <w:sz w:val="20"/>
          <w:szCs w:val="20"/>
          <w:bdr w:val="none" w:sz="0" w:space="0" w:color="auto"/>
          <w:lang w:eastAsia="en-GB"/>
        </w:rPr>
        <w:t>Brussels</w:t>
      </w:r>
      <w:r w:rsidR="0062366F" w:rsidRPr="0062366F">
        <w:rPr>
          <w:rStyle w:val="normaltextrun"/>
          <w:rFonts w:ascii="Sennheiser Office" w:eastAsia="Times New Roman" w:hAnsi="Sennheiser Office" w:cs="Segoe UI"/>
          <w:b/>
          <w:bCs/>
          <w:color w:val="000000" w:themeColor="text1"/>
          <w:sz w:val="20"/>
          <w:szCs w:val="20"/>
          <w:bdr w:val="none" w:sz="0" w:space="0" w:color="auto"/>
          <w:lang w:eastAsia="en-GB"/>
        </w:rPr>
        <w:t xml:space="preserve">, </w:t>
      </w:r>
      <w:r>
        <w:rPr>
          <w:rStyle w:val="normaltextrun"/>
          <w:rFonts w:ascii="Sennheiser Office" w:eastAsia="Times New Roman" w:hAnsi="Sennheiser Office" w:cs="Segoe UI"/>
          <w:b/>
          <w:bCs/>
          <w:color w:val="000000" w:themeColor="text1"/>
          <w:sz w:val="20"/>
          <w:szCs w:val="20"/>
          <w:bdr w:val="none" w:sz="0" w:space="0" w:color="auto"/>
          <w:lang w:eastAsia="en-GB"/>
        </w:rPr>
        <w:t>Belgium</w:t>
      </w:r>
      <w:r w:rsidR="0062366F" w:rsidRPr="0062366F">
        <w:rPr>
          <w:rStyle w:val="normaltextrun"/>
          <w:rFonts w:ascii="Sennheiser Office" w:eastAsia="Times New Roman" w:hAnsi="Sennheiser Office" w:cs="Segoe UI"/>
          <w:b/>
          <w:bCs/>
          <w:color w:val="000000" w:themeColor="text1"/>
          <w:sz w:val="20"/>
          <w:szCs w:val="20"/>
          <w:bdr w:val="none" w:sz="0" w:space="0" w:color="auto"/>
          <w:lang w:eastAsia="en-GB"/>
        </w:rPr>
        <w:t xml:space="preserve"> — July </w:t>
      </w:r>
      <w:r w:rsidR="00711EBB">
        <w:rPr>
          <w:rStyle w:val="normaltextrun"/>
          <w:rFonts w:ascii="Sennheiser Office" w:eastAsia="Times New Roman" w:hAnsi="Sennheiser Office" w:cs="Segoe UI"/>
          <w:b/>
          <w:bCs/>
          <w:color w:val="000000" w:themeColor="text1"/>
          <w:sz w:val="20"/>
          <w:szCs w:val="20"/>
          <w:bdr w:val="none" w:sz="0" w:space="0" w:color="auto"/>
          <w:lang w:eastAsia="en-GB"/>
        </w:rPr>
        <w:t>1</w:t>
      </w:r>
      <w:r>
        <w:rPr>
          <w:rStyle w:val="normaltextrun"/>
          <w:rFonts w:ascii="Sennheiser Office" w:eastAsia="Times New Roman" w:hAnsi="Sennheiser Office" w:cs="Segoe UI"/>
          <w:b/>
          <w:bCs/>
          <w:color w:val="000000" w:themeColor="text1"/>
          <w:sz w:val="20"/>
          <w:szCs w:val="20"/>
          <w:bdr w:val="none" w:sz="0" w:space="0" w:color="auto"/>
          <w:lang w:eastAsia="en-GB"/>
        </w:rPr>
        <w:t>7</w:t>
      </w:r>
      <w:r w:rsidR="0062366F" w:rsidRPr="0062366F">
        <w:rPr>
          <w:rStyle w:val="normaltextrun"/>
          <w:rFonts w:ascii="Sennheiser Office" w:eastAsia="Times New Roman" w:hAnsi="Sennheiser Office" w:cs="Segoe UI"/>
          <w:b/>
          <w:bCs/>
          <w:color w:val="000000" w:themeColor="text1"/>
          <w:sz w:val="20"/>
          <w:szCs w:val="20"/>
          <w:bdr w:val="none" w:sz="0" w:space="0" w:color="auto"/>
          <w:lang w:eastAsia="en-GB"/>
        </w:rPr>
        <w:t xml:space="preserve">, 2024 — </w:t>
      </w:r>
      <w:hyperlink r:id="rId10" w:history="1">
        <w:r w:rsidR="0062366F" w:rsidRPr="006A2E61">
          <w:rPr>
            <w:rStyle w:val="Hyperlink"/>
            <w:rFonts w:ascii="Sennheiser Office" w:eastAsia="Times New Roman" w:hAnsi="Sennheiser Office" w:cs="Segoe UI"/>
            <w:color w:val="0095D5" w:themeColor="accent1"/>
            <w:sz w:val="20"/>
            <w:szCs w:val="20"/>
            <w:bdr w:val="none" w:sz="0" w:space="0" w:color="auto"/>
            <w:lang w:eastAsia="en-GB"/>
          </w:rPr>
          <w:t>Sennheiser</w:t>
        </w:r>
      </w:hyperlink>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 the first choice for advanced audio technology that makes collaboration and learning easier, has been awarded a prestigious Red Dot Award for TeamConnect Ceiling Medium (TCC M) microphone in the Conferencing Microphone Category. </w:t>
      </w:r>
      <w:r w:rsidR="00711EBB">
        <w:rPr>
          <w:rStyle w:val="normaltextrun"/>
          <w:rFonts w:ascii="Sennheiser Office" w:eastAsia="Times New Roman" w:hAnsi="Sennheiser Office" w:cs="Segoe UI"/>
          <w:color w:val="000000" w:themeColor="text1"/>
          <w:sz w:val="20"/>
          <w:szCs w:val="20"/>
          <w:bdr w:val="none" w:sz="0" w:space="0" w:color="auto"/>
          <w:lang w:eastAsia="en-GB"/>
        </w:rPr>
        <w:t xml:space="preserve">The Red Dot honor comes on the heels of an </w:t>
      </w:r>
      <w:hyperlink r:id="rId11" w:history="1">
        <w:proofErr w:type="spellStart"/>
        <w:r w:rsidR="00711EBB" w:rsidRPr="00711EBB">
          <w:rPr>
            <w:rStyle w:val="Hyperlink"/>
            <w:rFonts w:ascii="Sennheiser Office" w:eastAsia="Times New Roman" w:hAnsi="Sennheiser Office" w:cs="Segoe UI"/>
            <w:sz w:val="20"/>
            <w:szCs w:val="20"/>
            <w:bdr w:val="none" w:sz="0" w:space="0" w:color="auto"/>
            <w:lang w:eastAsia="en-GB"/>
          </w:rPr>
          <w:t>iF</w:t>
        </w:r>
        <w:proofErr w:type="spellEnd"/>
        <w:r w:rsidR="00711EBB" w:rsidRPr="00711EBB">
          <w:rPr>
            <w:rStyle w:val="Hyperlink"/>
            <w:rFonts w:ascii="Sennheiser Office" w:eastAsia="Times New Roman" w:hAnsi="Sennheiser Office" w:cs="Segoe UI"/>
            <w:sz w:val="20"/>
            <w:szCs w:val="20"/>
            <w:bdr w:val="none" w:sz="0" w:space="0" w:color="auto"/>
            <w:lang w:eastAsia="en-GB"/>
          </w:rPr>
          <w:t xml:space="preserve"> Design Award</w:t>
        </w:r>
      </w:hyperlink>
      <w:r w:rsidR="00711EBB">
        <w:rPr>
          <w:rStyle w:val="normaltextrun"/>
          <w:rFonts w:ascii="Sennheiser Office" w:eastAsia="Times New Roman" w:hAnsi="Sennheiser Office" w:cs="Segoe UI"/>
          <w:color w:val="000000" w:themeColor="text1"/>
          <w:sz w:val="20"/>
          <w:szCs w:val="20"/>
          <w:bdr w:val="none" w:sz="0" w:space="0" w:color="auto"/>
          <w:lang w:eastAsia="en-GB"/>
        </w:rPr>
        <w:t>, making it two significant design awards won by the TCC M this year.</w:t>
      </w:r>
    </w:p>
    <w:p w14:paraId="3D81416E" w14:textId="77777777" w:rsidR="00475945" w:rsidRDefault="00475945"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442EC412" w14:textId="315F9BD7" w:rsidR="00501AA1" w:rsidRPr="0062366F" w:rsidRDefault="00B235E1" w:rsidP="00B235E1">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sidRPr="00B235E1">
        <w:rPr>
          <w:rFonts w:cs="Arial Unicode MS"/>
          <w:b/>
          <w:bCs/>
          <w:noProof/>
          <w:color w:val="0095D5"/>
          <w:sz w:val="28"/>
          <w:szCs w:val="28"/>
          <w:u w:color="0095D5"/>
        </w:rPr>
        <w:drawing>
          <wp:inline distT="0" distB="0" distL="0" distR="0" wp14:anchorId="09DC35EE" wp14:editId="30176CB2">
            <wp:extent cx="4999990" cy="3750310"/>
            <wp:effectExtent l="0" t="0" r="0" b="2540"/>
            <wp:docPr id="583380615" name="Picture 1" descr="A white ceiling light with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80615" name="Picture 1" descr="A white ceiling light with a green cir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990" cy="3750310"/>
                    </a:xfrm>
                    <a:prstGeom prst="rect">
                      <a:avLst/>
                    </a:prstGeom>
                    <a:noFill/>
                    <a:ln>
                      <a:noFill/>
                    </a:ln>
                  </pic:spPr>
                </pic:pic>
              </a:graphicData>
            </a:graphic>
          </wp:inline>
        </w:drawing>
      </w:r>
    </w:p>
    <w:p w14:paraId="3A5A681C" w14:textId="77777777" w:rsidR="00711EBB" w:rsidRDefault="00711EBB" w:rsidP="00711EBB">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The Red Dot Design Award, established in 1955, is one of the world's largest and most distinguished design competitions. This award acknowledges TCC M’s high-quality design and innovation and serves as a quality seal for excellent design. </w:t>
      </w:r>
    </w:p>
    <w:p w14:paraId="0926F05F" w14:textId="77777777" w:rsidR="00711EBB" w:rsidRDefault="00711EBB" w:rsidP="005B752C">
      <w:pPr>
        <w:spacing w:line="360" w:lineRule="auto"/>
        <w:rPr>
          <w:rFonts w:ascii="Sennheiser Office" w:eastAsia="Times New Roman" w:hAnsi="Sennheiser Office" w:cs="Segoe UI"/>
          <w:b/>
          <w:bCs/>
          <w:color w:val="000000" w:themeColor="text1"/>
          <w:sz w:val="20"/>
          <w:szCs w:val="20"/>
          <w:bdr w:val="none" w:sz="0" w:space="0" w:color="auto"/>
          <w:lang w:eastAsia="en-GB"/>
        </w:rPr>
      </w:pPr>
    </w:p>
    <w:p w14:paraId="7431E7D1" w14:textId="77777777" w:rsidR="00711EBB" w:rsidRDefault="00711EBB" w:rsidP="005B752C">
      <w:pPr>
        <w:spacing w:line="360" w:lineRule="auto"/>
        <w:rPr>
          <w:rFonts w:ascii="Sennheiser Office" w:eastAsia="Times New Roman" w:hAnsi="Sennheiser Office" w:cs="Segoe UI"/>
          <w:b/>
          <w:bCs/>
          <w:color w:val="000000" w:themeColor="text1"/>
          <w:sz w:val="20"/>
          <w:szCs w:val="20"/>
          <w:bdr w:val="none" w:sz="0" w:space="0" w:color="auto"/>
          <w:lang w:eastAsia="en-GB"/>
        </w:rPr>
      </w:pPr>
    </w:p>
    <w:p w14:paraId="69D202A4" w14:textId="35E02D2D" w:rsidR="005B752C" w:rsidRPr="005B752C" w:rsidRDefault="005B752C" w:rsidP="005B752C">
      <w:pPr>
        <w:spacing w:line="360" w:lineRule="auto"/>
        <w:rPr>
          <w:rFonts w:ascii="Sennheiser Office" w:eastAsia="Times New Roman" w:hAnsi="Sennheiser Office" w:cs="Segoe UI"/>
          <w:b/>
          <w:bCs/>
          <w:color w:val="000000" w:themeColor="text1"/>
          <w:sz w:val="20"/>
          <w:szCs w:val="20"/>
          <w:bdr w:val="none" w:sz="0" w:space="0" w:color="auto"/>
          <w:lang w:eastAsia="en-GB"/>
        </w:rPr>
      </w:pPr>
      <w:r w:rsidRPr="005B752C">
        <w:rPr>
          <w:rFonts w:ascii="Sennheiser Office" w:eastAsia="Times New Roman" w:hAnsi="Sennheiser Office" w:cs="Segoe UI"/>
          <w:b/>
          <w:bCs/>
          <w:color w:val="000000" w:themeColor="text1"/>
          <w:sz w:val="20"/>
          <w:szCs w:val="20"/>
          <w:bdr w:val="none" w:sz="0" w:space="0" w:color="auto"/>
          <w:lang w:eastAsia="en-GB"/>
        </w:rPr>
        <w:t xml:space="preserve">Statement by the </w:t>
      </w:r>
      <w:r>
        <w:rPr>
          <w:rFonts w:ascii="Sennheiser Office" w:eastAsia="Times New Roman" w:hAnsi="Sennheiser Office" w:cs="Segoe UI"/>
          <w:b/>
          <w:bCs/>
          <w:color w:val="000000" w:themeColor="text1"/>
          <w:sz w:val="20"/>
          <w:szCs w:val="20"/>
          <w:bdr w:val="none" w:sz="0" w:space="0" w:color="auto"/>
          <w:lang w:eastAsia="en-GB"/>
        </w:rPr>
        <w:t xml:space="preserve">Red Dot </w:t>
      </w:r>
      <w:r w:rsidRPr="005B752C">
        <w:rPr>
          <w:rFonts w:ascii="Sennheiser Office" w:eastAsia="Times New Roman" w:hAnsi="Sennheiser Office" w:cs="Segoe UI"/>
          <w:b/>
          <w:bCs/>
          <w:color w:val="000000" w:themeColor="text1"/>
          <w:sz w:val="20"/>
          <w:szCs w:val="20"/>
          <w:bdr w:val="none" w:sz="0" w:space="0" w:color="auto"/>
          <w:lang w:eastAsia="en-GB"/>
        </w:rPr>
        <w:t>Jury</w:t>
      </w:r>
      <w:r>
        <w:rPr>
          <w:rFonts w:ascii="Sennheiser Office" w:eastAsia="Times New Roman" w:hAnsi="Sennheiser Office" w:cs="Segoe UI"/>
          <w:b/>
          <w:bCs/>
          <w:color w:val="000000" w:themeColor="text1"/>
          <w:sz w:val="20"/>
          <w:szCs w:val="20"/>
          <w:bdr w:val="none" w:sz="0" w:space="0" w:color="auto"/>
          <w:lang w:eastAsia="en-GB"/>
        </w:rPr>
        <w:t>:</w:t>
      </w:r>
    </w:p>
    <w:p w14:paraId="38BC4085" w14:textId="6C35B7D8" w:rsidR="005B752C" w:rsidRPr="005B752C" w:rsidRDefault="005B752C" w:rsidP="005B752C">
      <w:pPr>
        <w:spacing w:line="360" w:lineRule="auto"/>
        <w:rPr>
          <w:rFonts w:ascii="Sennheiser Office" w:eastAsia="Times New Roman" w:hAnsi="Sennheiser Office" w:cs="Segoe UI"/>
          <w:i/>
          <w:iCs/>
          <w:color w:val="000000" w:themeColor="text1"/>
          <w:sz w:val="20"/>
          <w:szCs w:val="20"/>
          <w:bdr w:val="none" w:sz="0" w:space="0" w:color="auto"/>
          <w:lang w:eastAsia="en-GB"/>
        </w:rPr>
      </w:pPr>
      <w:r>
        <w:rPr>
          <w:rFonts w:ascii="Sennheiser Office" w:eastAsia="Times New Roman" w:hAnsi="Sennheiser Office" w:cs="Segoe UI"/>
          <w:i/>
          <w:iCs/>
          <w:color w:val="000000" w:themeColor="text1"/>
          <w:sz w:val="20"/>
          <w:szCs w:val="20"/>
          <w:bdr w:val="none" w:sz="0" w:space="0" w:color="auto"/>
          <w:lang w:eastAsia="en-GB"/>
        </w:rPr>
        <w:t>“</w:t>
      </w:r>
      <w:r w:rsidRPr="005B752C">
        <w:rPr>
          <w:rFonts w:ascii="Sennheiser Office" w:eastAsia="Times New Roman" w:hAnsi="Sennheiser Office" w:cs="Segoe UI"/>
          <w:i/>
          <w:iCs/>
          <w:color w:val="000000" w:themeColor="text1"/>
          <w:sz w:val="20"/>
          <w:szCs w:val="20"/>
          <w:bdr w:val="none" w:sz="0" w:space="0" w:color="auto"/>
          <w:lang w:eastAsia="en-GB"/>
        </w:rPr>
        <w:t xml:space="preserve">Like a sleek, elegant UFO, the </w:t>
      </w:r>
      <w:proofErr w:type="spellStart"/>
      <w:r w:rsidRPr="005B752C">
        <w:rPr>
          <w:rFonts w:ascii="Sennheiser Office" w:eastAsia="Times New Roman" w:hAnsi="Sennheiser Office" w:cs="Segoe UI"/>
          <w:i/>
          <w:iCs/>
          <w:color w:val="000000" w:themeColor="text1"/>
          <w:sz w:val="20"/>
          <w:szCs w:val="20"/>
          <w:bdr w:val="none" w:sz="0" w:space="0" w:color="auto"/>
          <w:lang w:eastAsia="en-GB"/>
        </w:rPr>
        <w:t>TeamConnect</w:t>
      </w:r>
      <w:proofErr w:type="spellEnd"/>
      <w:r w:rsidRPr="005B752C">
        <w:rPr>
          <w:rFonts w:ascii="Sennheiser Office" w:eastAsia="Times New Roman" w:hAnsi="Sennheiser Office" w:cs="Segoe UI"/>
          <w:i/>
          <w:iCs/>
          <w:color w:val="000000" w:themeColor="text1"/>
          <w:sz w:val="20"/>
          <w:szCs w:val="20"/>
          <w:bdr w:val="none" w:sz="0" w:space="0" w:color="auto"/>
          <w:lang w:eastAsia="en-GB"/>
        </w:rPr>
        <w:t xml:space="preserve"> Ceiling Medium (TCC M) blends unobtrusively into the room and ensures good sound during hybrid conferences.</w:t>
      </w:r>
      <w:r>
        <w:rPr>
          <w:rFonts w:ascii="Sennheiser Office" w:eastAsia="Times New Roman" w:hAnsi="Sennheiser Office" w:cs="Segoe UI"/>
          <w:i/>
          <w:iCs/>
          <w:color w:val="000000" w:themeColor="text1"/>
          <w:sz w:val="20"/>
          <w:szCs w:val="20"/>
          <w:bdr w:val="none" w:sz="0" w:space="0" w:color="auto"/>
          <w:lang w:eastAsia="en-GB"/>
        </w:rPr>
        <w:t>”</w:t>
      </w:r>
    </w:p>
    <w:p w14:paraId="348C384A"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02583026" w14:textId="77777777" w:rsidR="0062366F" w:rsidRPr="006A2E61" w:rsidRDefault="0062366F" w:rsidP="0062366F">
      <w:pPr>
        <w:spacing w:line="360" w:lineRule="auto"/>
        <w:rPr>
          <w:rStyle w:val="normaltextrun"/>
          <w:rFonts w:ascii="Sennheiser Office" w:eastAsia="Times New Roman" w:hAnsi="Sennheiser Office" w:cs="Segoe UI"/>
          <w:b/>
          <w:bCs/>
          <w:color w:val="000000" w:themeColor="text1"/>
          <w:sz w:val="20"/>
          <w:szCs w:val="20"/>
          <w:bdr w:val="none" w:sz="0" w:space="0" w:color="auto"/>
          <w:lang w:eastAsia="en-GB"/>
        </w:rPr>
      </w:pPr>
      <w:r w:rsidRPr="006A2E61">
        <w:rPr>
          <w:rStyle w:val="normaltextrun"/>
          <w:rFonts w:ascii="Sennheiser Office" w:eastAsia="Times New Roman" w:hAnsi="Sennheiser Office" w:cs="Segoe UI"/>
          <w:b/>
          <w:bCs/>
          <w:color w:val="000000" w:themeColor="text1"/>
          <w:sz w:val="20"/>
          <w:szCs w:val="20"/>
          <w:bdr w:val="none" w:sz="0" w:space="0" w:color="auto"/>
          <w:lang w:eastAsia="en-GB"/>
        </w:rPr>
        <w:lastRenderedPageBreak/>
        <w:t>TeamConnect Ceiling Medium Microphone</w:t>
      </w:r>
    </w:p>
    <w:p w14:paraId="0C3BDD4D"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sidRPr="0062366F">
        <w:rPr>
          <w:rStyle w:val="normaltextrun"/>
          <w:rFonts w:ascii="Sennheiser Office" w:eastAsia="Times New Roman" w:hAnsi="Sennheiser Office" w:cs="Segoe UI"/>
          <w:color w:val="000000" w:themeColor="text1"/>
          <w:sz w:val="20"/>
          <w:szCs w:val="20"/>
          <w:bdr w:val="none" w:sz="0" w:space="0" w:color="auto"/>
          <w:lang w:eastAsia="en-GB"/>
        </w:rPr>
        <w:t>Sennheiser’s TCC M offers unparalleled audio quality combined with automatic dynamic beamforming technology to capture voices from every corner of the room. With TruVoiceLift and its most recently added feature, Intelligent Noise Control, TCC M is an ideal choice for medium-sized meeting spaces.</w:t>
      </w:r>
    </w:p>
    <w:p w14:paraId="6FA58EFD"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53706C79" w14:textId="77777777" w:rsidR="00B235E1" w:rsidRDefault="0062366F" w:rsidP="0062366F">
      <w:pPr>
        <w:spacing w:line="360" w:lineRule="auto"/>
        <w:rPr>
          <w:rFonts w:cs="Arial Unicode MS"/>
          <w:b/>
          <w:bCs/>
          <w:noProof/>
          <w:color w:val="0095D5"/>
          <w:sz w:val="32"/>
          <w:szCs w:val="32"/>
          <w:u w:color="0095D5"/>
        </w:rPr>
      </w:pPr>
      <w:r w:rsidRPr="0062366F">
        <w:rPr>
          <w:rStyle w:val="normaltextrun"/>
          <w:rFonts w:ascii="Sennheiser Office" w:eastAsia="Times New Roman" w:hAnsi="Sennheiser Office" w:cs="Segoe UI"/>
          <w:color w:val="000000" w:themeColor="text1"/>
          <w:sz w:val="20"/>
          <w:szCs w:val="20"/>
          <w:bdr w:val="none" w:sz="0" w:space="0" w:color="auto"/>
          <w:lang w:eastAsia="en-GB"/>
        </w:rPr>
        <w:t>TCC M is part of the Sennheiser TeamConnect Family, which also includes the TeamConnect Ceiling 2 and TeamConnect Bars. This range offers a comprehensive solution for all corporate and educational communication needs, ensuring smooth, productive, and engaging meetings or lectures for all participants.</w:t>
      </w:r>
      <w:r w:rsidR="00B235E1" w:rsidRPr="00B235E1">
        <w:rPr>
          <w:rFonts w:cs="Arial Unicode MS"/>
          <w:b/>
          <w:bCs/>
          <w:noProof/>
          <w:color w:val="0095D5"/>
          <w:sz w:val="32"/>
          <w:szCs w:val="32"/>
          <w:u w:color="0095D5"/>
        </w:rPr>
        <w:t xml:space="preserve"> </w:t>
      </w:r>
    </w:p>
    <w:p w14:paraId="27B1E7A2" w14:textId="77777777" w:rsidR="00B235E1" w:rsidRDefault="00B235E1" w:rsidP="0062366F">
      <w:pPr>
        <w:spacing w:line="360" w:lineRule="auto"/>
        <w:rPr>
          <w:rFonts w:cs="Arial Unicode MS"/>
          <w:b/>
          <w:bCs/>
          <w:noProof/>
          <w:color w:val="0095D5"/>
          <w:sz w:val="32"/>
          <w:szCs w:val="32"/>
          <w:u w:color="0095D5"/>
        </w:rPr>
      </w:pPr>
    </w:p>
    <w:p w14:paraId="3D6B83B3" w14:textId="1AFE4536" w:rsidR="0062366F" w:rsidRPr="0062366F" w:rsidRDefault="00B235E1" w:rsidP="00B235E1">
      <w:pPr>
        <w:spacing w:line="360" w:lineRule="auto"/>
        <w:jc w:val="center"/>
        <w:rPr>
          <w:rStyle w:val="normaltextrun"/>
          <w:rFonts w:ascii="Sennheiser Office" w:eastAsia="Times New Roman" w:hAnsi="Sennheiser Office" w:cs="Segoe UI"/>
          <w:color w:val="000000" w:themeColor="text1"/>
          <w:sz w:val="20"/>
          <w:szCs w:val="20"/>
          <w:bdr w:val="none" w:sz="0" w:space="0" w:color="auto"/>
          <w:lang w:eastAsia="en-GB"/>
        </w:rPr>
      </w:pPr>
      <w:r w:rsidRPr="00FB36AD">
        <w:rPr>
          <w:rFonts w:cs="Arial Unicode MS"/>
          <w:b/>
          <w:bCs/>
          <w:noProof/>
          <w:color w:val="0095D5"/>
          <w:sz w:val="32"/>
          <w:szCs w:val="32"/>
          <w:u w:color="0095D5"/>
        </w:rPr>
        <w:drawing>
          <wp:inline distT="0" distB="0" distL="0" distR="0" wp14:anchorId="252F2849" wp14:editId="1D292FBE">
            <wp:extent cx="2305050" cy="1350418"/>
            <wp:effectExtent l="0" t="0" r="0" b="2540"/>
            <wp:docPr id="1131060292" name="Picture 2" descr="A logo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60292" name="Picture 2" descr="A logo with red and white strip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3270" cy="1361092"/>
                    </a:xfrm>
                    <a:prstGeom prst="rect">
                      <a:avLst/>
                    </a:prstGeom>
                    <a:noFill/>
                    <a:ln>
                      <a:noFill/>
                    </a:ln>
                  </pic:spPr>
                </pic:pic>
              </a:graphicData>
            </a:graphic>
          </wp:inline>
        </w:drawing>
      </w:r>
    </w:p>
    <w:p w14:paraId="60A84810"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32E16614"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sidRPr="0062366F">
        <w:rPr>
          <w:rStyle w:val="normaltextrun"/>
          <w:rFonts w:ascii="Sennheiser Office" w:eastAsia="Times New Roman" w:hAnsi="Sennheiser Office" w:cs="Segoe UI"/>
          <w:color w:val="000000" w:themeColor="text1"/>
          <w:sz w:val="20"/>
          <w:szCs w:val="20"/>
          <w:bdr w:val="none" w:sz="0" w:space="0" w:color="auto"/>
          <w:lang w:eastAsia="en-GB"/>
        </w:rPr>
        <w:t>The Red Dot Award in Product Design sets out to find the year’s best products. The products selected by the Red Dot Jury to win an award may be aesthetically appealing, functional, smart or innovative, but most of all, feature outstanding design.</w:t>
      </w:r>
    </w:p>
    <w:p w14:paraId="0C15E60F"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3F278A4B" w14:textId="68217B32" w:rsidR="0062366F" w:rsidRPr="0062366F" w:rsidRDefault="00DA3C28"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Pr>
          <w:rStyle w:val="normaltextrun"/>
          <w:rFonts w:ascii="Sennheiser Office" w:eastAsia="Times New Roman" w:hAnsi="Sennheiser Office" w:cs="Segoe UI"/>
          <w:color w:val="000000" w:themeColor="text1"/>
          <w:sz w:val="20"/>
          <w:szCs w:val="20"/>
          <w:bdr w:val="none" w:sz="0" w:space="0" w:color="auto"/>
          <w:lang w:eastAsia="en-GB"/>
        </w:rPr>
        <w:t>“</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The Red Dot Award underscores our commitment to exceptional product design,</w:t>
      </w:r>
      <w:r>
        <w:rPr>
          <w:rStyle w:val="normaltextrun"/>
          <w:rFonts w:ascii="Sennheiser Office" w:eastAsia="Times New Roman" w:hAnsi="Sennheiser Office" w:cs="Segoe UI"/>
          <w:color w:val="000000" w:themeColor="text1"/>
          <w:sz w:val="20"/>
          <w:szCs w:val="20"/>
          <w:bdr w:val="none" w:sz="0" w:space="0" w:color="auto"/>
          <w:lang w:eastAsia="en-GB"/>
        </w:rPr>
        <w:t>”</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 said Jens Werner, product manager, Business Communications Conferencing at Sennheiser. </w:t>
      </w:r>
      <w:r>
        <w:rPr>
          <w:rStyle w:val="normaltextrun"/>
          <w:rFonts w:ascii="Sennheiser Office" w:eastAsia="Times New Roman" w:hAnsi="Sennheiser Office" w:cs="Segoe UI"/>
          <w:color w:val="000000" w:themeColor="text1"/>
          <w:sz w:val="20"/>
          <w:szCs w:val="20"/>
          <w:bdr w:val="none" w:sz="0" w:space="0" w:color="auto"/>
          <w:lang w:eastAsia="en-GB"/>
        </w:rPr>
        <w:t>“</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Our team worked hard to achieve a thoughtful product that blends design and functionality to create the most </w:t>
      </w:r>
      <w:r w:rsidR="005B752C">
        <w:rPr>
          <w:rStyle w:val="normaltextrun"/>
          <w:rFonts w:ascii="Sennheiser Office" w:eastAsia="Times New Roman" w:hAnsi="Sennheiser Office" w:cs="Segoe UI"/>
          <w:color w:val="000000" w:themeColor="text1"/>
          <w:sz w:val="20"/>
          <w:szCs w:val="20"/>
          <w:bdr w:val="none" w:sz="0" w:space="0" w:color="auto"/>
          <w:lang w:eastAsia="en-GB"/>
        </w:rPr>
        <w:t>innovative</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 audio solution for ensuring every voice is heard in collaborative and learning environments. We’re thrilled that the Red Dot Jury recognized and selected the TCC M as a product of </w:t>
      </w:r>
      <w:r w:rsidR="005B752C">
        <w:rPr>
          <w:rStyle w:val="normaltextrun"/>
          <w:rFonts w:ascii="Sennheiser Office" w:eastAsia="Times New Roman" w:hAnsi="Sennheiser Office" w:cs="Segoe UI"/>
          <w:color w:val="000000" w:themeColor="text1"/>
          <w:sz w:val="20"/>
          <w:szCs w:val="20"/>
          <w:bdr w:val="none" w:sz="0" w:space="0" w:color="auto"/>
          <w:lang w:eastAsia="en-GB"/>
        </w:rPr>
        <w:t xml:space="preserve">remarkable </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design.</w:t>
      </w:r>
      <w:r>
        <w:rPr>
          <w:rStyle w:val="normaltextrun"/>
          <w:rFonts w:ascii="Sennheiser Office" w:eastAsia="Times New Roman" w:hAnsi="Sennheiser Office" w:cs="Segoe UI"/>
          <w:color w:val="000000" w:themeColor="text1"/>
          <w:sz w:val="20"/>
          <w:szCs w:val="20"/>
          <w:bdr w:val="none" w:sz="0" w:space="0" w:color="auto"/>
          <w:lang w:eastAsia="en-GB"/>
        </w:rPr>
        <w:t>”</w:t>
      </w:r>
    </w:p>
    <w:p w14:paraId="6AF1259A" w14:textId="77777777" w:rsidR="0062366F" w:rsidRPr="0062366F" w:rsidRDefault="0062366F"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p>
    <w:p w14:paraId="403C744A" w14:textId="619F537B" w:rsidR="0062366F" w:rsidRPr="0062366F" w:rsidRDefault="005B752C" w:rsidP="0062366F">
      <w:pPr>
        <w:spacing w:line="360" w:lineRule="auto"/>
        <w:rPr>
          <w:rStyle w:val="normaltextrun"/>
          <w:rFonts w:ascii="Sennheiser Office" w:eastAsia="Times New Roman" w:hAnsi="Sennheiser Office" w:cs="Segoe UI"/>
          <w:color w:val="000000" w:themeColor="text1"/>
          <w:sz w:val="20"/>
          <w:szCs w:val="20"/>
          <w:bdr w:val="none" w:sz="0" w:space="0" w:color="auto"/>
          <w:lang w:eastAsia="en-GB"/>
        </w:rPr>
      </w:pPr>
      <w:r>
        <w:rPr>
          <w:rStyle w:val="normaltextrun"/>
          <w:rFonts w:ascii="Sennheiser Office" w:eastAsia="Times New Roman" w:hAnsi="Sennheiser Office" w:cs="Segoe UI"/>
          <w:color w:val="000000" w:themeColor="text1"/>
          <w:sz w:val="20"/>
          <w:szCs w:val="20"/>
          <w:bdr w:val="none" w:sz="0" w:space="0" w:color="auto"/>
          <w:lang w:eastAsia="en-GB"/>
        </w:rPr>
        <w:t xml:space="preserve">To view the TCC M’s inclusion amongst the 2024 Red Dot winners, go to </w:t>
      </w:r>
      <w:hyperlink r:id="rId14" w:history="1">
        <w:r w:rsidRPr="00B62863">
          <w:rPr>
            <w:rStyle w:val="Hyperlink"/>
            <w:rFonts w:ascii="Sennheiser Office" w:eastAsia="Times New Roman" w:hAnsi="Sennheiser Office" w:cs="Segoe UI"/>
            <w:sz w:val="20"/>
            <w:szCs w:val="20"/>
            <w:bdr w:val="none" w:sz="0" w:space="0" w:color="auto"/>
            <w:lang w:eastAsia="en-GB"/>
          </w:rPr>
          <w:t>www.red-dot.org/project/teamconnect-ceiling-medium-tcc-m-71038</w:t>
        </w:r>
      </w:hyperlink>
      <w:r>
        <w:rPr>
          <w:rStyle w:val="normaltextrun"/>
          <w:rFonts w:ascii="Sennheiser Office" w:eastAsia="Times New Roman" w:hAnsi="Sennheiser Office" w:cs="Segoe UI"/>
          <w:color w:val="000000" w:themeColor="text1"/>
          <w:sz w:val="20"/>
          <w:szCs w:val="20"/>
          <w:bdr w:val="none" w:sz="0" w:space="0" w:color="auto"/>
          <w:lang w:eastAsia="en-GB"/>
        </w:rPr>
        <w:t xml:space="preserve">.  </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For more information about Sennheiser's award-winning </w:t>
      </w:r>
      <w:r>
        <w:rPr>
          <w:rStyle w:val="normaltextrun"/>
          <w:rFonts w:ascii="Sennheiser Office" w:eastAsia="Times New Roman" w:hAnsi="Sennheiser Office" w:cs="Segoe UI"/>
          <w:color w:val="000000" w:themeColor="text1"/>
          <w:sz w:val="20"/>
          <w:szCs w:val="20"/>
          <w:bdr w:val="none" w:sz="0" w:space="0" w:color="auto"/>
          <w:lang w:eastAsia="en-GB"/>
        </w:rPr>
        <w:t>TCC M</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 please visit </w:t>
      </w:r>
      <w:r w:rsidR="0062366F" w:rsidRPr="006A2E61">
        <w:rPr>
          <w:rStyle w:val="normaltextrun"/>
          <w:rFonts w:ascii="Sennheiser Office" w:eastAsia="Times New Roman" w:hAnsi="Sennheiser Office" w:cs="Segoe UI"/>
          <w:color w:val="0095D5" w:themeColor="accent1"/>
          <w:sz w:val="20"/>
          <w:szCs w:val="20"/>
          <w:bdr w:val="none" w:sz="0" w:space="0" w:color="auto"/>
          <w:lang w:eastAsia="en-GB"/>
        </w:rPr>
        <w:t>www.sennheiser.com/tccm</w:t>
      </w:r>
      <w:r w:rsidR="0062366F" w:rsidRPr="0062366F">
        <w:rPr>
          <w:rStyle w:val="normaltextrun"/>
          <w:rFonts w:ascii="Sennheiser Office" w:eastAsia="Times New Roman" w:hAnsi="Sennheiser Office" w:cs="Segoe UI"/>
          <w:color w:val="000000" w:themeColor="text1"/>
          <w:sz w:val="20"/>
          <w:szCs w:val="20"/>
          <w:bdr w:val="none" w:sz="0" w:space="0" w:color="auto"/>
          <w:lang w:eastAsia="en-GB"/>
        </w:rPr>
        <w:t xml:space="preserve">. </w:t>
      </w:r>
    </w:p>
    <w:p w14:paraId="1FFC66E6" w14:textId="1D3EE3C8" w:rsidR="00605E69" w:rsidRPr="00281E66" w:rsidRDefault="00605E69" w:rsidP="00A2691C">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614FD56B" w14:textId="77777777" w:rsidR="00F723A9" w:rsidRPr="00281E66" w:rsidRDefault="00F723A9" w:rsidP="00011309">
      <w:pPr>
        <w:pStyle w:val="Body"/>
        <w:spacing w:line="240" w:lineRule="auto"/>
        <w:rPr>
          <w:sz w:val="20"/>
          <w:szCs w:val="20"/>
        </w:rPr>
      </w:pPr>
    </w:p>
    <w:p w14:paraId="4EBB449C" w14:textId="77777777" w:rsidR="00F723A9" w:rsidRPr="00281E66" w:rsidRDefault="002B2A66" w:rsidP="00605E69">
      <w:pPr>
        <w:pStyle w:val="Body"/>
        <w:spacing w:line="240" w:lineRule="auto"/>
        <w:rPr>
          <w:b/>
          <w:bCs/>
        </w:rPr>
      </w:pPr>
      <w:r w:rsidRPr="00281E66">
        <w:rPr>
          <w:b/>
          <w:bCs/>
        </w:rPr>
        <w:lastRenderedPageBreak/>
        <w:t xml:space="preserve">About the Sennheiser brand  </w:t>
      </w:r>
    </w:p>
    <w:p w14:paraId="0143ED3E" w14:textId="77777777" w:rsidR="00F723A9" w:rsidRPr="00281E66" w:rsidRDefault="002B2A66" w:rsidP="00605E69">
      <w:pPr>
        <w:pStyle w:val="About"/>
      </w:pPr>
      <w:r w:rsidRPr="00281E66">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281E66">
        <w:t>Sonova</w:t>
      </w:r>
      <w:proofErr w:type="spellEnd"/>
      <w:r w:rsidRPr="00281E66">
        <w:t xml:space="preserve"> Holding AG under the license of Sennheiser.  </w:t>
      </w:r>
    </w:p>
    <w:p w14:paraId="25F10B76" w14:textId="77777777" w:rsidR="00F723A9" w:rsidRPr="00281E66" w:rsidRDefault="00F723A9" w:rsidP="00605E69">
      <w:pPr>
        <w:pStyle w:val="About"/>
      </w:pPr>
    </w:p>
    <w:p w14:paraId="2B518097" w14:textId="77777777" w:rsidR="00F723A9" w:rsidRPr="00281E66" w:rsidRDefault="00000000" w:rsidP="00605E69">
      <w:pPr>
        <w:pStyle w:val="About"/>
        <w:rPr>
          <w:color w:val="0095D5"/>
          <w:u w:color="0095D5"/>
        </w:rPr>
      </w:pPr>
      <w:hyperlink r:id="rId15" w:history="1">
        <w:r w:rsidR="002B2A66" w:rsidRPr="00281E66">
          <w:rPr>
            <w:rStyle w:val="Hyperlink1"/>
          </w:rPr>
          <w:t>www.sennheiser.com</w:t>
        </w:r>
      </w:hyperlink>
    </w:p>
    <w:p w14:paraId="70BEF436" w14:textId="77777777" w:rsidR="00F723A9" w:rsidRPr="00281E66" w:rsidRDefault="00000000" w:rsidP="00605E69">
      <w:pPr>
        <w:pStyle w:val="About"/>
        <w:rPr>
          <w:color w:val="0095D5"/>
        </w:rPr>
      </w:pPr>
      <w:hyperlink r:id="rId16">
        <w:r w:rsidR="002B2A66" w:rsidRPr="26A22CF9">
          <w:rPr>
            <w:rStyle w:val="Hyperlink1"/>
          </w:rPr>
          <w:t>www.sennheiser-hearing.com</w:t>
        </w:r>
      </w:hyperlink>
    </w:p>
    <w:p w14:paraId="5C564E47" w14:textId="23F490F6" w:rsidR="00F723A9" w:rsidRPr="00A2691C" w:rsidRDefault="00F723A9" w:rsidP="26A22CF9">
      <w:pPr>
        <w:pStyle w:val="About"/>
        <w:rPr>
          <w:rStyle w:val="Hyperlink1"/>
        </w:rPr>
      </w:pPr>
    </w:p>
    <w:p w14:paraId="5474A21D" w14:textId="77777777" w:rsidR="00BD7779" w:rsidRDefault="00BD7779">
      <w:pPr>
        <w:tabs>
          <w:tab w:val="left" w:pos="4111"/>
        </w:tabs>
        <w:rPr>
          <w:rFonts w:ascii="Sennheiser Office" w:eastAsia="Sennheiser Office" w:hAnsi="Sennheiser Office" w:cs="Sennheiser Office"/>
          <w:b/>
          <w:bCs/>
          <w:sz w:val="15"/>
          <w:szCs w:val="15"/>
        </w:rPr>
        <w:sectPr w:rsidR="00BD7779" w:rsidSect="009459C3">
          <w:headerReference w:type="default" r:id="rId17"/>
          <w:headerReference w:type="first" r:id="rId18"/>
          <w:footerReference w:type="first" r:id="rId19"/>
          <w:pgSz w:w="11900" w:h="16840"/>
          <w:pgMar w:top="2754" w:right="2608" w:bottom="1418" w:left="1418" w:header="629" w:footer="1349" w:gutter="0"/>
          <w:cols w:space="720"/>
          <w:titlePg/>
        </w:sectPr>
      </w:pPr>
    </w:p>
    <w:p w14:paraId="197C21E2" w14:textId="77777777" w:rsidR="00BD7779" w:rsidRDefault="00BD7779" w:rsidP="00B716A0">
      <w:pPr>
        <w:pStyle w:val="Contact"/>
        <w:spacing w:line="240" w:lineRule="auto"/>
        <w:rPr>
          <w:b/>
        </w:rPr>
        <w:sectPr w:rsidR="00BD7779" w:rsidSect="009459C3">
          <w:type w:val="continuous"/>
          <w:pgSz w:w="11900" w:h="16840"/>
          <w:pgMar w:top="2754" w:right="2608" w:bottom="1418" w:left="1418" w:header="629" w:footer="1349" w:gutter="0"/>
          <w:cols w:num="2" w:space="720"/>
          <w:titlePg/>
        </w:sectPr>
      </w:pPr>
    </w:p>
    <w:p w14:paraId="68ABAB85" w14:textId="252CDE84" w:rsidR="00F723A9" w:rsidRPr="00A2691C" w:rsidRDefault="00F723A9" w:rsidP="00B716A0">
      <w:pPr>
        <w:pStyle w:val="Contact"/>
        <w:spacing w:line="240" w:lineRule="auto"/>
        <w:rPr>
          <w:b/>
        </w:rPr>
      </w:pPr>
    </w:p>
    <w:sectPr w:rsidR="00F723A9" w:rsidRPr="00A2691C"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EAE3" w14:textId="77777777" w:rsidR="00D85249" w:rsidRDefault="00D85249">
      <w:r>
        <w:separator/>
      </w:r>
    </w:p>
  </w:endnote>
  <w:endnote w:type="continuationSeparator" w:id="0">
    <w:p w14:paraId="73EB6DCA" w14:textId="77777777" w:rsidR="00D85249" w:rsidRDefault="00D85249">
      <w:r>
        <w:continuationSeparator/>
      </w:r>
    </w:p>
  </w:endnote>
  <w:endnote w:type="continuationNotice" w:id="1">
    <w:p w14:paraId="0C0EF662" w14:textId="77777777" w:rsidR="00D85249" w:rsidRDefault="00D85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DAE3" w14:textId="77777777" w:rsidR="00D85249" w:rsidRDefault="00D85249">
      <w:r>
        <w:separator/>
      </w:r>
    </w:p>
  </w:footnote>
  <w:footnote w:type="continuationSeparator" w:id="0">
    <w:p w14:paraId="3DA4FC19" w14:textId="77777777" w:rsidR="00D85249" w:rsidRDefault="00D85249">
      <w:r>
        <w:continuationSeparator/>
      </w:r>
    </w:p>
  </w:footnote>
  <w:footnote w:type="continuationNotice" w:id="1">
    <w:p w14:paraId="1ED9095C" w14:textId="77777777" w:rsidR="00D85249" w:rsidRDefault="00D85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33C22"/>
    <w:rsid w:val="000439F8"/>
    <w:rsid w:val="00053181"/>
    <w:rsid w:val="00061564"/>
    <w:rsid w:val="00065253"/>
    <w:rsid w:val="00077212"/>
    <w:rsid w:val="00086D15"/>
    <w:rsid w:val="000905A0"/>
    <w:rsid w:val="000A5220"/>
    <w:rsid w:val="000A54E1"/>
    <w:rsid w:val="000D6C01"/>
    <w:rsid w:val="000E06C3"/>
    <w:rsid w:val="000E14D9"/>
    <w:rsid w:val="000E42FC"/>
    <w:rsid w:val="000E5BF1"/>
    <w:rsid w:val="0011553E"/>
    <w:rsid w:val="00126371"/>
    <w:rsid w:val="00130492"/>
    <w:rsid w:val="00134850"/>
    <w:rsid w:val="001361F2"/>
    <w:rsid w:val="00145797"/>
    <w:rsid w:val="001577D8"/>
    <w:rsid w:val="00181B1C"/>
    <w:rsid w:val="00184C1D"/>
    <w:rsid w:val="0019241A"/>
    <w:rsid w:val="001C444F"/>
    <w:rsid w:val="001C4577"/>
    <w:rsid w:val="001C710A"/>
    <w:rsid w:val="001F1AE3"/>
    <w:rsid w:val="0020601D"/>
    <w:rsid w:val="00206C97"/>
    <w:rsid w:val="002165F2"/>
    <w:rsid w:val="00216689"/>
    <w:rsid w:val="0023286D"/>
    <w:rsid w:val="002339B9"/>
    <w:rsid w:val="00266121"/>
    <w:rsid w:val="00272847"/>
    <w:rsid w:val="00274D36"/>
    <w:rsid w:val="0028064C"/>
    <w:rsid w:val="00281E66"/>
    <w:rsid w:val="00284EC1"/>
    <w:rsid w:val="002A2A33"/>
    <w:rsid w:val="002B2A66"/>
    <w:rsid w:val="002B3B38"/>
    <w:rsid w:val="002B6324"/>
    <w:rsid w:val="002C272B"/>
    <w:rsid w:val="002D5380"/>
    <w:rsid w:val="002D6CD2"/>
    <w:rsid w:val="002E2F59"/>
    <w:rsid w:val="002F30A9"/>
    <w:rsid w:val="002F3BC8"/>
    <w:rsid w:val="002F55CB"/>
    <w:rsid w:val="0030416F"/>
    <w:rsid w:val="003108F6"/>
    <w:rsid w:val="00311CA1"/>
    <w:rsid w:val="00312BB0"/>
    <w:rsid w:val="00314945"/>
    <w:rsid w:val="00316A90"/>
    <w:rsid w:val="003200FD"/>
    <w:rsid w:val="00327998"/>
    <w:rsid w:val="00332D1E"/>
    <w:rsid w:val="003334D7"/>
    <w:rsid w:val="00337C9D"/>
    <w:rsid w:val="003462BB"/>
    <w:rsid w:val="00347232"/>
    <w:rsid w:val="003475E0"/>
    <w:rsid w:val="0035313E"/>
    <w:rsid w:val="003603EB"/>
    <w:rsid w:val="0036428F"/>
    <w:rsid w:val="00370F94"/>
    <w:rsid w:val="0037308F"/>
    <w:rsid w:val="00385162"/>
    <w:rsid w:val="00392407"/>
    <w:rsid w:val="003A21BE"/>
    <w:rsid w:val="003E04E3"/>
    <w:rsid w:val="003E6414"/>
    <w:rsid w:val="00403092"/>
    <w:rsid w:val="00407D0E"/>
    <w:rsid w:val="00410E82"/>
    <w:rsid w:val="00423E32"/>
    <w:rsid w:val="00431394"/>
    <w:rsid w:val="00433681"/>
    <w:rsid w:val="00443489"/>
    <w:rsid w:val="00445397"/>
    <w:rsid w:val="004502E9"/>
    <w:rsid w:val="00460C29"/>
    <w:rsid w:val="00475945"/>
    <w:rsid w:val="00475C03"/>
    <w:rsid w:val="0048372E"/>
    <w:rsid w:val="004B1803"/>
    <w:rsid w:val="004B364E"/>
    <w:rsid w:val="004E60A6"/>
    <w:rsid w:val="004E7DAC"/>
    <w:rsid w:val="00501AA1"/>
    <w:rsid w:val="005023D5"/>
    <w:rsid w:val="00516946"/>
    <w:rsid w:val="00520A09"/>
    <w:rsid w:val="00522B2B"/>
    <w:rsid w:val="00540B13"/>
    <w:rsid w:val="00551003"/>
    <w:rsid w:val="005537B3"/>
    <w:rsid w:val="00561C22"/>
    <w:rsid w:val="00564D90"/>
    <w:rsid w:val="00597382"/>
    <w:rsid w:val="005A4A6E"/>
    <w:rsid w:val="005B1949"/>
    <w:rsid w:val="005B6CF9"/>
    <w:rsid w:val="005B752C"/>
    <w:rsid w:val="005B79EB"/>
    <w:rsid w:val="005D37D0"/>
    <w:rsid w:val="005D54E7"/>
    <w:rsid w:val="005D557A"/>
    <w:rsid w:val="005F380F"/>
    <w:rsid w:val="005F5F13"/>
    <w:rsid w:val="0060182D"/>
    <w:rsid w:val="00604FA8"/>
    <w:rsid w:val="00605E69"/>
    <w:rsid w:val="00606081"/>
    <w:rsid w:val="00610DCF"/>
    <w:rsid w:val="0061476F"/>
    <w:rsid w:val="00616FA7"/>
    <w:rsid w:val="0062366F"/>
    <w:rsid w:val="00625DDD"/>
    <w:rsid w:val="00632F01"/>
    <w:rsid w:val="006403F7"/>
    <w:rsid w:val="00650A6D"/>
    <w:rsid w:val="00652386"/>
    <w:rsid w:val="006558FB"/>
    <w:rsid w:val="00661DC9"/>
    <w:rsid w:val="00667666"/>
    <w:rsid w:val="006773DF"/>
    <w:rsid w:val="006A2E61"/>
    <w:rsid w:val="006A7FF6"/>
    <w:rsid w:val="006C0EE4"/>
    <w:rsid w:val="006C2996"/>
    <w:rsid w:val="00711EBB"/>
    <w:rsid w:val="00717DA9"/>
    <w:rsid w:val="00726493"/>
    <w:rsid w:val="00727C4B"/>
    <w:rsid w:val="007317C7"/>
    <w:rsid w:val="00735760"/>
    <w:rsid w:val="007412C1"/>
    <w:rsid w:val="007609D4"/>
    <w:rsid w:val="00772FA2"/>
    <w:rsid w:val="00775C7F"/>
    <w:rsid w:val="007841F2"/>
    <w:rsid w:val="007A4043"/>
    <w:rsid w:val="007B38D1"/>
    <w:rsid w:val="007B7DCD"/>
    <w:rsid w:val="007C03AE"/>
    <w:rsid w:val="007D0449"/>
    <w:rsid w:val="007D24B4"/>
    <w:rsid w:val="007E1D2A"/>
    <w:rsid w:val="008139D2"/>
    <w:rsid w:val="00814EF7"/>
    <w:rsid w:val="008229B0"/>
    <w:rsid w:val="00831182"/>
    <w:rsid w:val="00883FC3"/>
    <w:rsid w:val="00897C8F"/>
    <w:rsid w:val="008B13AE"/>
    <w:rsid w:val="008B459E"/>
    <w:rsid w:val="008C7951"/>
    <w:rsid w:val="008E2866"/>
    <w:rsid w:val="008E637A"/>
    <w:rsid w:val="008E789C"/>
    <w:rsid w:val="008F089D"/>
    <w:rsid w:val="008F51C5"/>
    <w:rsid w:val="0093448C"/>
    <w:rsid w:val="009459C3"/>
    <w:rsid w:val="0094604E"/>
    <w:rsid w:val="00947A95"/>
    <w:rsid w:val="009558FC"/>
    <w:rsid w:val="00955A9E"/>
    <w:rsid w:val="00971F55"/>
    <w:rsid w:val="009825DB"/>
    <w:rsid w:val="009924A5"/>
    <w:rsid w:val="00992DA4"/>
    <w:rsid w:val="009966BE"/>
    <w:rsid w:val="00996A22"/>
    <w:rsid w:val="009B4855"/>
    <w:rsid w:val="009C2CB2"/>
    <w:rsid w:val="009D047B"/>
    <w:rsid w:val="009E0C15"/>
    <w:rsid w:val="009E56C7"/>
    <w:rsid w:val="00A064F1"/>
    <w:rsid w:val="00A1494A"/>
    <w:rsid w:val="00A175AE"/>
    <w:rsid w:val="00A2691C"/>
    <w:rsid w:val="00A26947"/>
    <w:rsid w:val="00A370E1"/>
    <w:rsid w:val="00A3749A"/>
    <w:rsid w:val="00A45182"/>
    <w:rsid w:val="00A63E36"/>
    <w:rsid w:val="00A6689B"/>
    <w:rsid w:val="00A67544"/>
    <w:rsid w:val="00A83641"/>
    <w:rsid w:val="00A8660F"/>
    <w:rsid w:val="00A92CF5"/>
    <w:rsid w:val="00AA4EE9"/>
    <w:rsid w:val="00AB03D5"/>
    <w:rsid w:val="00AB5F4C"/>
    <w:rsid w:val="00AB7244"/>
    <w:rsid w:val="00AC0F3B"/>
    <w:rsid w:val="00AD6E34"/>
    <w:rsid w:val="00AF74B4"/>
    <w:rsid w:val="00B040D9"/>
    <w:rsid w:val="00B0640D"/>
    <w:rsid w:val="00B1478E"/>
    <w:rsid w:val="00B15A05"/>
    <w:rsid w:val="00B173D1"/>
    <w:rsid w:val="00B205C0"/>
    <w:rsid w:val="00B235E1"/>
    <w:rsid w:val="00B4038A"/>
    <w:rsid w:val="00B675E2"/>
    <w:rsid w:val="00B716A0"/>
    <w:rsid w:val="00B71F75"/>
    <w:rsid w:val="00B81DE6"/>
    <w:rsid w:val="00B837C8"/>
    <w:rsid w:val="00B944F2"/>
    <w:rsid w:val="00BA1E38"/>
    <w:rsid w:val="00BA22A7"/>
    <w:rsid w:val="00BA5DFC"/>
    <w:rsid w:val="00BC4047"/>
    <w:rsid w:val="00BD569B"/>
    <w:rsid w:val="00BD6D40"/>
    <w:rsid w:val="00BD7779"/>
    <w:rsid w:val="00BE149A"/>
    <w:rsid w:val="00BE336C"/>
    <w:rsid w:val="00BF3A31"/>
    <w:rsid w:val="00C13115"/>
    <w:rsid w:val="00C33091"/>
    <w:rsid w:val="00C35BB5"/>
    <w:rsid w:val="00C426FF"/>
    <w:rsid w:val="00C43A0D"/>
    <w:rsid w:val="00C57856"/>
    <w:rsid w:val="00C6126D"/>
    <w:rsid w:val="00C65DB3"/>
    <w:rsid w:val="00C71AEE"/>
    <w:rsid w:val="00C771B3"/>
    <w:rsid w:val="00CA3E66"/>
    <w:rsid w:val="00CA7A6B"/>
    <w:rsid w:val="00D2691F"/>
    <w:rsid w:val="00D30F4F"/>
    <w:rsid w:val="00D51BF7"/>
    <w:rsid w:val="00D530A3"/>
    <w:rsid w:val="00D610E2"/>
    <w:rsid w:val="00D6116E"/>
    <w:rsid w:val="00D61388"/>
    <w:rsid w:val="00D85249"/>
    <w:rsid w:val="00D86316"/>
    <w:rsid w:val="00D9713F"/>
    <w:rsid w:val="00DA042D"/>
    <w:rsid w:val="00DA3C28"/>
    <w:rsid w:val="00DD1DD2"/>
    <w:rsid w:val="00DD3967"/>
    <w:rsid w:val="00DF1194"/>
    <w:rsid w:val="00E23411"/>
    <w:rsid w:val="00E41E49"/>
    <w:rsid w:val="00EB144B"/>
    <w:rsid w:val="00EB3EB2"/>
    <w:rsid w:val="00ED3D21"/>
    <w:rsid w:val="00EE2D85"/>
    <w:rsid w:val="00EE5736"/>
    <w:rsid w:val="00EE57D0"/>
    <w:rsid w:val="00EE7CA6"/>
    <w:rsid w:val="00EF1D35"/>
    <w:rsid w:val="00EF7EF5"/>
    <w:rsid w:val="00F0659B"/>
    <w:rsid w:val="00F0662C"/>
    <w:rsid w:val="00F16EA7"/>
    <w:rsid w:val="00F208F3"/>
    <w:rsid w:val="00F34FF3"/>
    <w:rsid w:val="00F40048"/>
    <w:rsid w:val="00F424D2"/>
    <w:rsid w:val="00F610ED"/>
    <w:rsid w:val="00F723A9"/>
    <w:rsid w:val="00F76A1B"/>
    <w:rsid w:val="00F8188A"/>
    <w:rsid w:val="00F831B8"/>
    <w:rsid w:val="00F84082"/>
    <w:rsid w:val="00F8551A"/>
    <w:rsid w:val="00F87D2B"/>
    <w:rsid w:val="00FB5307"/>
    <w:rsid w:val="00FB5689"/>
    <w:rsid w:val="00FC2CA7"/>
    <w:rsid w:val="00FF01A6"/>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207389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nnheiser-hear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fdesign.com/en/winner-ranking/project/teamconnect-ceiling-medium-tcc-m/646272" TargetMode="External"/><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hyperlink" Target="http://www.sennheiser.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d-dot.org/project/teamconnect-ceiling-medium-tcc-m-710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D507CF7F-07A0-4E5A-B15C-D5E3667FB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Laura Amorosi</cp:lastModifiedBy>
  <cp:revision>3</cp:revision>
  <cp:lastPrinted>2024-05-22T16:10:00Z</cp:lastPrinted>
  <dcterms:created xsi:type="dcterms:W3CDTF">2024-07-10T23:40:00Z</dcterms:created>
  <dcterms:modified xsi:type="dcterms:W3CDTF">2024-07-17T07:57:00Z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